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406B9" w14:textId="77777777" w:rsidR="00E821C4" w:rsidRPr="002A66F2" w:rsidRDefault="00E821C4" w:rsidP="00E821C4">
      <w:pPr>
        <w:jc w:val="center"/>
        <w:rPr>
          <w:b/>
          <w:bCs/>
          <w:sz w:val="18"/>
          <w:szCs w:val="18"/>
        </w:rPr>
      </w:pPr>
      <w:r w:rsidRPr="002A66F2">
        <w:rPr>
          <w:b/>
          <w:bCs/>
          <w:sz w:val="18"/>
          <w:szCs w:val="18"/>
        </w:rPr>
        <w:t>“Esta es la segunda ocasión que se licitan los bienes o servicios contendidos en la presente Convocatoria y Bases, de conformidad con lo establecido en el artículo 72 fracción VI, VII y VII de La Ley de Compras Gubernamentales, Enajenaciones y Contratación de Servicios para el Estado de Jalisco y sus Municipios”</w:t>
      </w:r>
    </w:p>
    <w:p w14:paraId="5B34CDBF" w14:textId="08E01823"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Boulevard Yuscapan</w:t>
      </w:r>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CC2030B" w14:textId="1F9AC9B6" w:rsidR="009B1D8E" w:rsidRPr="003C529F" w:rsidRDefault="00D60588">
      <w:pPr>
        <w:spacing w:line="399" w:lineRule="exact"/>
        <w:ind w:left="1" w:right="39"/>
        <w:jc w:val="center"/>
        <w:rPr>
          <w:sz w:val="28"/>
          <w:szCs w:val="18"/>
        </w:rPr>
      </w:pPr>
      <w:r w:rsidRPr="00E821C4">
        <w:rPr>
          <w:sz w:val="28"/>
          <w:szCs w:val="18"/>
        </w:rPr>
        <w:t>OPD-CENDI-S</w:t>
      </w:r>
      <w:r w:rsidR="007C62C3" w:rsidRPr="00E821C4">
        <w:rPr>
          <w:sz w:val="28"/>
          <w:szCs w:val="18"/>
        </w:rPr>
        <w:t>C</w:t>
      </w:r>
      <w:r w:rsidRPr="00E821C4">
        <w:rPr>
          <w:sz w:val="28"/>
          <w:szCs w:val="18"/>
        </w:rPr>
        <w:t>-0</w:t>
      </w:r>
      <w:r w:rsidR="00CB1263">
        <w:rPr>
          <w:sz w:val="28"/>
          <w:szCs w:val="18"/>
        </w:rPr>
        <w:t>20</w:t>
      </w:r>
      <w:r w:rsidRPr="00E821C4">
        <w:rPr>
          <w:sz w:val="28"/>
          <w:szCs w:val="18"/>
        </w:rPr>
        <w:t>/2024</w:t>
      </w:r>
      <w:r w:rsidR="00E821C4" w:rsidRPr="00E821C4">
        <w:rPr>
          <w:sz w:val="28"/>
          <w:szCs w:val="18"/>
        </w:rPr>
        <w:t xml:space="preserve"> </w:t>
      </w:r>
      <w:r w:rsidRPr="003C529F">
        <w:rPr>
          <w:spacing w:val="-10"/>
          <w:sz w:val="28"/>
          <w:szCs w:val="18"/>
        </w:rPr>
        <w:t>“</w:t>
      </w:r>
      <w:r w:rsidR="00E26FFD">
        <w:rPr>
          <w:spacing w:val="-2"/>
          <w:sz w:val="28"/>
          <w:szCs w:val="18"/>
        </w:rPr>
        <w:t>RENTA DE SISTEMA DE IMPRESIÓN Y COPIADO</w:t>
      </w:r>
      <w:r w:rsidRPr="003C529F">
        <w:rPr>
          <w:spacing w:val="-2"/>
          <w:sz w:val="28"/>
          <w:szCs w:val="18"/>
        </w:rPr>
        <w:t>”</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713637">
        <w:trPr>
          <w:trHeight w:val="587"/>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3827733B" w:rsidR="009B1D8E" w:rsidRDefault="007C62C3">
            <w:pPr>
              <w:pStyle w:val="TableParagraph"/>
              <w:spacing w:before="0"/>
              <w:ind w:left="17" w:right="2"/>
              <w:jc w:val="center"/>
            </w:pPr>
            <w:r>
              <w:rPr>
                <w:spacing w:val="-2"/>
              </w:rPr>
              <w:t>3231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2F7984B0" w:rsidR="009B1D8E" w:rsidRDefault="00E821C4">
            <w:pPr>
              <w:pStyle w:val="TableParagraph"/>
              <w:ind w:left="17" w:right="2"/>
              <w:jc w:val="center"/>
            </w:pPr>
            <w:r>
              <w:rPr>
                <w:spacing w:val="-2"/>
                <w:w w:val="105"/>
              </w:rPr>
              <w:t>11</w:t>
            </w:r>
            <w:r w:rsidR="000631B3">
              <w:rPr>
                <w:spacing w:val="-2"/>
                <w:w w:val="105"/>
              </w:rPr>
              <w:t>/1</w:t>
            </w:r>
            <w:r w:rsidR="002941E9">
              <w:rPr>
                <w:spacing w:val="-2"/>
                <w:w w:val="105"/>
              </w:rPr>
              <w:t>2</w:t>
            </w:r>
            <w:r w:rsidR="000631B3">
              <w:rPr>
                <w:spacing w:val="-2"/>
                <w:w w:val="105"/>
              </w:rPr>
              <w:t>/2024</w:t>
            </w:r>
          </w:p>
        </w:tc>
      </w:tr>
      <w:tr w:rsidR="009B1D8E" w14:paraId="53C19F1E" w14:textId="77777777" w:rsidTr="00713637">
        <w:trPr>
          <w:trHeight w:val="571"/>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419DB568" w:rsidR="009B1D8E" w:rsidRDefault="00E821C4">
            <w:pPr>
              <w:pStyle w:val="TableParagraph"/>
              <w:spacing w:before="0"/>
              <w:ind w:left="17" w:right="2"/>
              <w:jc w:val="center"/>
            </w:pPr>
            <w:r>
              <w:t>16</w:t>
            </w:r>
            <w:r w:rsidR="00187211">
              <w:t>/1</w:t>
            </w:r>
            <w:r w:rsidR="000631B3">
              <w:t>2</w:t>
            </w:r>
            <w:r w:rsidR="00187211">
              <w:t>/2024</w:t>
            </w:r>
            <w:r w:rsidR="00187211">
              <w:rPr>
                <w:spacing w:val="-7"/>
              </w:rPr>
              <w:t xml:space="preserve"> </w:t>
            </w:r>
            <w:r w:rsidR="00187211">
              <w:t>01:00:00</w:t>
            </w:r>
            <w:r w:rsidR="00187211">
              <w:rPr>
                <w:spacing w:val="-6"/>
              </w:rPr>
              <w:t xml:space="preserve"> </w:t>
            </w:r>
            <w:r w:rsidR="00187211">
              <w:t>p.</w:t>
            </w:r>
            <w:r w:rsidR="00187211">
              <w:rPr>
                <w:spacing w:val="-6"/>
              </w:rPr>
              <w:t xml:space="preserve"> </w:t>
            </w:r>
            <w:r w:rsidR="00187211">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19FB14EC" w:rsidR="009B1D8E" w:rsidRDefault="00E821C4">
            <w:pPr>
              <w:pStyle w:val="TableParagraph"/>
              <w:spacing w:before="0"/>
              <w:ind w:left="17" w:right="2"/>
              <w:jc w:val="center"/>
            </w:pPr>
            <w:r>
              <w:t>16/</w:t>
            </w:r>
            <w:r w:rsidR="00187211">
              <w:t>1</w:t>
            </w:r>
            <w:r w:rsidR="000631B3">
              <w:t>2</w:t>
            </w:r>
            <w:r w:rsidR="00187211">
              <w:t>/2024</w:t>
            </w:r>
            <w:r w:rsidR="00187211">
              <w:rPr>
                <w:spacing w:val="-2"/>
              </w:rPr>
              <w:t xml:space="preserve"> </w:t>
            </w:r>
            <w:r w:rsidR="00187211">
              <w:t>01:01:00</w:t>
            </w:r>
            <w:r w:rsidR="00187211">
              <w:rPr>
                <w:spacing w:val="-1"/>
              </w:rPr>
              <w:t xml:space="preserve"> </w:t>
            </w:r>
            <w:r w:rsidR="00187211">
              <w:rPr>
                <w:spacing w:val="-5"/>
              </w:rPr>
              <w:t>pm</w:t>
            </w:r>
          </w:p>
        </w:tc>
      </w:tr>
      <w:tr w:rsidR="002941E9" w14:paraId="6DBA1C37" w14:textId="77777777" w:rsidTr="00713637">
        <w:trPr>
          <w:trHeight w:val="465"/>
        </w:trPr>
        <w:tc>
          <w:tcPr>
            <w:tcW w:w="5570" w:type="dxa"/>
          </w:tcPr>
          <w:p w14:paraId="694E8814" w14:textId="08BC3C0D" w:rsidR="002941E9" w:rsidRDefault="002941E9" w:rsidP="002941E9">
            <w:pPr>
              <w:pStyle w:val="TableParagraph"/>
              <w:spacing w:before="141" w:line="237" w:lineRule="auto"/>
            </w:pPr>
            <w:r w:rsidRPr="007C41D6">
              <w:rPr>
                <w:rFonts w:ascii="Calibri" w:hAnsi="Calibri" w:cs="Calibri"/>
                <w:lang w:val="es-ES_tradnl" w:eastAsia="es-ES"/>
              </w:rPr>
              <w:t>Plazo de presentación de propuestas (Art. 60, Ley)</w:t>
            </w:r>
          </w:p>
        </w:tc>
        <w:tc>
          <w:tcPr>
            <w:tcW w:w="4395" w:type="dxa"/>
          </w:tcPr>
          <w:p w14:paraId="605D510A" w14:textId="77777777" w:rsidR="00713637" w:rsidRDefault="00713637" w:rsidP="00713637">
            <w:pPr>
              <w:pStyle w:val="TableParagraph"/>
              <w:spacing w:before="3"/>
              <w:ind w:left="0"/>
              <w:jc w:val="center"/>
              <w:rPr>
                <w:rFonts w:ascii="Calibri" w:hAnsi="Calibri" w:cs="Calibri"/>
                <w:b/>
                <w:lang w:val="es-ES_tradnl" w:eastAsia="es-ES"/>
              </w:rPr>
            </w:pPr>
          </w:p>
          <w:p w14:paraId="04C752A4" w14:textId="6AE7F98C" w:rsidR="002941E9" w:rsidRDefault="002941E9" w:rsidP="00713637">
            <w:pPr>
              <w:pStyle w:val="TableParagraph"/>
              <w:spacing w:before="3"/>
              <w:ind w:left="0"/>
              <w:jc w:val="center"/>
            </w:pPr>
            <w:r>
              <w:rPr>
                <w:rFonts w:ascii="Calibri" w:hAnsi="Calibri" w:cs="Calibri"/>
                <w:b/>
                <w:lang w:val="es-ES_tradnl" w:eastAsia="es-ES"/>
              </w:rPr>
              <w:t>Recortada (05</w:t>
            </w:r>
            <w:r w:rsidRPr="007C41D6">
              <w:rPr>
                <w:rFonts w:ascii="Calibri" w:hAnsi="Calibri" w:cs="Calibri"/>
                <w:b/>
                <w:lang w:val="es-ES_tradnl" w:eastAsia="es-ES"/>
              </w:rPr>
              <w:t xml:space="preserve"> días)</w:t>
            </w:r>
          </w:p>
        </w:tc>
      </w:tr>
      <w:tr w:rsidR="002941E9" w14:paraId="415342D9" w14:textId="77777777" w:rsidTr="00713637">
        <w:trPr>
          <w:trHeight w:val="899"/>
        </w:trPr>
        <w:tc>
          <w:tcPr>
            <w:tcW w:w="5570" w:type="dxa"/>
          </w:tcPr>
          <w:p w14:paraId="4B899CDF" w14:textId="77777777" w:rsidR="002941E9" w:rsidRDefault="002941E9" w:rsidP="002941E9">
            <w:pPr>
              <w:pStyle w:val="TableParagraph"/>
              <w:spacing w:before="135"/>
              <w:ind w:left="0"/>
            </w:pPr>
          </w:p>
          <w:p w14:paraId="7953EEF9" w14:textId="77777777" w:rsidR="002941E9" w:rsidRDefault="002941E9" w:rsidP="002941E9">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2941E9" w:rsidRDefault="002941E9" w:rsidP="002941E9">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2941E9" w14:paraId="7C54E681" w14:textId="77777777" w:rsidTr="00AF51D1">
        <w:trPr>
          <w:trHeight w:val="1092"/>
        </w:trPr>
        <w:tc>
          <w:tcPr>
            <w:tcW w:w="5570" w:type="dxa"/>
          </w:tcPr>
          <w:p w14:paraId="6431123A" w14:textId="28B7B6CA" w:rsidR="002941E9" w:rsidRDefault="002941E9" w:rsidP="002941E9">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2941E9" w:rsidRDefault="002941E9" w:rsidP="002941E9">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792AE580" w14:textId="77777777" w:rsidR="009B1D8E" w:rsidRDefault="009B1D8E">
      <w:pPr>
        <w:spacing w:line="237" w:lineRule="auto"/>
        <w:jc w:val="center"/>
      </w:pPr>
    </w:p>
    <w:p w14:paraId="32384AA9" w14:textId="77777777" w:rsidR="00713637" w:rsidRPr="00713637" w:rsidRDefault="00713637" w:rsidP="00713637">
      <w:pPr>
        <w:sectPr w:rsidR="00713637" w:rsidRPr="00713637">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701"/>
        <w:gridCol w:w="1762"/>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7C62C3" w14:paraId="75BF90C6" w14:textId="77777777" w:rsidTr="00CB1263">
        <w:trPr>
          <w:trHeight w:val="413"/>
        </w:trPr>
        <w:tc>
          <w:tcPr>
            <w:tcW w:w="1576" w:type="dxa"/>
            <w:tcBorders>
              <w:top w:val="nil"/>
            </w:tcBorders>
            <w:shd w:val="clear" w:color="auto" w:fill="E2E2E2"/>
          </w:tcPr>
          <w:p w14:paraId="43FFE988" w14:textId="77777777" w:rsidR="007C62C3" w:rsidRPr="001A0832" w:rsidRDefault="007C62C3" w:rsidP="007C62C3">
            <w:pPr>
              <w:pStyle w:val="TableParagraph"/>
              <w:spacing w:before="64"/>
              <w:ind w:left="14"/>
              <w:jc w:val="center"/>
            </w:pPr>
            <w:r w:rsidRPr="001A0832">
              <w:rPr>
                <w:spacing w:val="-10"/>
                <w:w w:val="105"/>
              </w:rPr>
              <w:t>1</w:t>
            </w:r>
          </w:p>
        </w:tc>
        <w:tc>
          <w:tcPr>
            <w:tcW w:w="5954" w:type="dxa"/>
            <w:tcBorders>
              <w:top w:val="nil"/>
            </w:tcBorders>
            <w:shd w:val="clear" w:color="auto" w:fill="E2E2E2"/>
          </w:tcPr>
          <w:p w14:paraId="4BAEDEBF" w14:textId="063CCC34" w:rsidR="007C62C3" w:rsidRPr="001A0832" w:rsidRDefault="007C62C3" w:rsidP="007C62C3">
            <w:pPr>
              <w:jc w:val="center"/>
              <w:rPr>
                <w:rFonts w:eastAsia="Times New Roman" w:cs="Times New Roman"/>
                <w:lang w:val="es-MX"/>
              </w:rPr>
            </w:pPr>
            <w:r w:rsidRPr="00B84175">
              <w:rPr>
                <w:rFonts w:ascii="Arial" w:eastAsia="Times New Roman" w:hAnsi="Arial" w:cs="Arial"/>
                <w:bCs/>
                <w:color w:val="000000"/>
                <w:sz w:val="20"/>
                <w:szCs w:val="20"/>
              </w:rPr>
              <w:t xml:space="preserve">RENTA DE UNA COPIADORA MULTIFUNCIONAL A COLOR, VELOCIDAD DE COPIA/IMPRESIÓN DE 38 PPM EN COLOR Y BLANCO&amp;NEGRO, COPIA E IMPRESIÓN EN LAS DOS CARAS CON UNA VELOCIDAD DE 38 PPM, PARA COPIAS E IMPRESIÓN TAMAÑO MEDIA CARTA, CARTA Y OFICIO,  ALIMENTADOR DE ORIGINALES REVERSIBLE CON CAPACIDAD DE 50 ORIGINALES CON UNA VELOCIDAD DE 35 PPM Y ESCANEO DE AMBAS CARAS DEL PAPEL, ESCANEO A E-MAIL, FTP, USB, SMB, MEMORIA DE 1 GB, DISCO DURO DE 320 GB,  PANTALLA TACTIL DE 7” LCD A COLOR, BANDEJA DE PAPEL DE 550 HOJAS Y BANDEJA MULTIPROPOSITOS DE 100 HOJAS, IMPRESIÓN SEGURA, AHORRO DE ENERGIA, VOLUMEN MAXIMO MENSUAL DE 120,000 PROCESOS, RENDIMIENTO DE TONER DE 10,000 PROCESOS BLANCO&amp;NEGRO Y </w:t>
            </w:r>
            <w:r>
              <w:rPr>
                <w:rFonts w:ascii="Arial" w:eastAsia="Times New Roman" w:hAnsi="Arial" w:cs="Arial"/>
                <w:bCs/>
                <w:color w:val="000000"/>
                <w:sz w:val="20"/>
                <w:szCs w:val="20"/>
              </w:rPr>
              <w:t>COLOR.  QUE INCLUYA</w:t>
            </w:r>
            <w:r w:rsidR="003910FD">
              <w:rPr>
                <w:rFonts w:ascii="Arial" w:eastAsia="Times New Roman" w:hAnsi="Arial" w:cs="Arial"/>
                <w:bCs/>
                <w:color w:val="000000"/>
                <w:sz w:val="20"/>
                <w:szCs w:val="20"/>
              </w:rPr>
              <w:t xml:space="preserve"> VOLUMEN MENSUAL RECOMENDADO</w:t>
            </w:r>
            <w:r>
              <w:rPr>
                <w:rFonts w:ascii="Arial" w:eastAsia="Times New Roman" w:hAnsi="Arial" w:cs="Arial"/>
                <w:bCs/>
                <w:color w:val="000000"/>
                <w:sz w:val="20"/>
                <w:szCs w:val="20"/>
              </w:rPr>
              <w:t xml:space="preserve"> MINIMO 3</w:t>
            </w:r>
            <w:r w:rsidRPr="00B84175">
              <w:rPr>
                <w:rFonts w:ascii="Arial" w:eastAsia="Times New Roman" w:hAnsi="Arial" w:cs="Arial"/>
                <w:bCs/>
                <w:color w:val="000000"/>
                <w:sz w:val="20"/>
                <w:szCs w:val="20"/>
              </w:rPr>
              <w:t xml:space="preserve"> MIL IMPRESIONES (FOTOCOPIA) A BLANCO&amp;NEGRO, ASI TAMBIEN DEBERA INCLUIR </w:t>
            </w:r>
            <w:r w:rsidR="003910FD">
              <w:rPr>
                <w:rFonts w:ascii="Arial" w:eastAsia="Times New Roman" w:hAnsi="Arial" w:cs="Arial"/>
                <w:bCs/>
                <w:color w:val="000000"/>
                <w:sz w:val="20"/>
                <w:szCs w:val="20"/>
              </w:rPr>
              <w:t xml:space="preserve">VOLUMEN MENSUAL RECOMEDADO </w:t>
            </w:r>
            <w:r w:rsidRPr="00B84175">
              <w:rPr>
                <w:rFonts w:ascii="Arial" w:eastAsia="Times New Roman" w:hAnsi="Arial" w:cs="Arial"/>
                <w:bCs/>
                <w:color w:val="000000"/>
                <w:sz w:val="20"/>
                <w:szCs w:val="20"/>
              </w:rPr>
              <w:t>COMO MINIMO MIL IMPRESIONES (FOTOCOPIA) A COLOR.</w:t>
            </w:r>
          </w:p>
        </w:tc>
        <w:tc>
          <w:tcPr>
            <w:tcW w:w="1701" w:type="dxa"/>
            <w:tcBorders>
              <w:top w:val="nil"/>
            </w:tcBorders>
            <w:shd w:val="clear" w:color="auto" w:fill="E2E2E2"/>
          </w:tcPr>
          <w:p w14:paraId="0EA42526" w14:textId="2C53909F" w:rsidR="007C62C3" w:rsidRDefault="007C62C3" w:rsidP="007C62C3">
            <w:pPr>
              <w:pStyle w:val="TableParagraph"/>
              <w:spacing w:before="64"/>
              <w:ind w:left="13"/>
              <w:jc w:val="center"/>
            </w:pPr>
            <w:r>
              <w:rPr>
                <w:spacing w:val="-5"/>
                <w:w w:val="105"/>
              </w:rPr>
              <w:t>1</w:t>
            </w:r>
          </w:p>
        </w:tc>
        <w:tc>
          <w:tcPr>
            <w:tcW w:w="1762" w:type="dxa"/>
            <w:tcBorders>
              <w:top w:val="nil"/>
            </w:tcBorders>
            <w:shd w:val="clear" w:color="auto" w:fill="E2E2E2"/>
          </w:tcPr>
          <w:p w14:paraId="4A31DB86" w14:textId="3B97008E" w:rsidR="007C62C3" w:rsidRDefault="007C62C3" w:rsidP="007C62C3">
            <w:pPr>
              <w:pStyle w:val="TableParagraph"/>
              <w:spacing w:before="64"/>
              <w:ind w:left="11"/>
              <w:jc w:val="center"/>
            </w:pPr>
            <w:r>
              <w:rPr>
                <w:spacing w:val="-2"/>
              </w:rPr>
              <w:t>Arrendamiento</w:t>
            </w:r>
          </w:p>
        </w:tc>
      </w:tr>
      <w:tr w:rsidR="007C62C3" w14:paraId="6DA21637" w14:textId="77777777" w:rsidTr="00CB1263">
        <w:trPr>
          <w:trHeight w:val="413"/>
        </w:trPr>
        <w:tc>
          <w:tcPr>
            <w:tcW w:w="1576" w:type="dxa"/>
            <w:tcBorders>
              <w:top w:val="nil"/>
            </w:tcBorders>
            <w:shd w:val="clear" w:color="auto" w:fill="E2E2E2"/>
          </w:tcPr>
          <w:p w14:paraId="4ED6C71D" w14:textId="05E8845E" w:rsidR="007C62C3" w:rsidRPr="001A0832" w:rsidRDefault="007C62C3" w:rsidP="007C62C3">
            <w:pPr>
              <w:pStyle w:val="TableParagraph"/>
              <w:spacing w:before="64"/>
              <w:ind w:left="14"/>
              <w:jc w:val="center"/>
              <w:rPr>
                <w:spacing w:val="-10"/>
                <w:w w:val="105"/>
              </w:rPr>
            </w:pPr>
            <w:r>
              <w:rPr>
                <w:spacing w:val="-10"/>
                <w:w w:val="105"/>
              </w:rPr>
              <w:t>2</w:t>
            </w:r>
          </w:p>
        </w:tc>
        <w:tc>
          <w:tcPr>
            <w:tcW w:w="5954" w:type="dxa"/>
            <w:tcBorders>
              <w:top w:val="nil"/>
            </w:tcBorders>
            <w:shd w:val="clear" w:color="auto" w:fill="E2E2E2"/>
          </w:tcPr>
          <w:p w14:paraId="2F993719" w14:textId="3239F832" w:rsidR="007C62C3" w:rsidRPr="00B84175" w:rsidRDefault="007C62C3" w:rsidP="007C62C3">
            <w:pPr>
              <w:jc w:val="both"/>
              <w:rPr>
                <w:rFonts w:ascii="Arial" w:eastAsia="Times New Roman" w:hAnsi="Arial" w:cs="Arial"/>
                <w:bCs/>
                <w:color w:val="000000"/>
                <w:sz w:val="20"/>
                <w:szCs w:val="20"/>
              </w:rPr>
            </w:pPr>
            <w:r w:rsidRPr="00B84175">
              <w:rPr>
                <w:rFonts w:ascii="Arial" w:eastAsia="Times New Roman" w:hAnsi="Arial" w:cs="Arial"/>
                <w:bCs/>
                <w:color w:val="000000"/>
                <w:sz w:val="20"/>
                <w:szCs w:val="20"/>
              </w:rPr>
              <w:t>RENTA DE UNA COPIADORA MULTIFUNCIONAL BLANCO&amp;NEGRO, VELOCIDAD DE COPIA/IMPRESIÓN DE 45 PPM, COPIA E IMPRESIÓN EN LAS DOS CARAS CON UNA VELOCIDAD DE 45 PPM, PARA COPIAS E IMPRESIÓN TAMAÑO MEDIA CARTA, CARTA Y OFICIO,  ALIMENTADOR DE ORIGINALES REVERSIBLE CON CAPACIDAD DE 50 ORIGINALES CON UNA VELOCIDAD DE ESCANEO DE 60 PPM, ESCANEO DE AMBAS CARAS DEL PAPEL, ESCANEO A E-MAIL, FTP, USB, SMB, MEMORIA DE 1 GB, PANTALLA TACTIL DE 10.1” LCD A COLOR, BANDEJA DE PAPEL DE 500 HOJAS Y BANDEJA MULTIPROPOSITOS DE 100 HOJAS, AHORRO DE ENERGIA, VOLUMEN MAXIMO MENSUAL DE 200,000 PROCESOS, RENDIMIENTO DE TONER DE 40,000 PROCESOS.  QUE INCLUYA</w:t>
            </w:r>
            <w:r w:rsidR="003910FD">
              <w:rPr>
                <w:rFonts w:ascii="Arial" w:eastAsia="Times New Roman" w:hAnsi="Arial" w:cs="Arial"/>
                <w:bCs/>
                <w:color w:val="000000"/>
                <w:sz w:val="20"/>
                <w:szCs w:val="20"/>
              </w:rPr>
              <w:t xml:space="preserve"> VOLUMEN MENSUAL RECOMENDADO</w:t>
            </w:r>
            <w:r w:rsidRPr="00B84175">
              <w:rPr>
                <w:rFonts w:ascii="Arial" w:eastAsia="Times New Roman" w:hAnsi="Arial" w:cs="Arial"/>
                <w:bCs/>
                <w:color w:val="000000"/>
                <w:sz w:val="20"/>
                <w:szCs w:val="20"/>
              </w:rPr>
              <w:t xml:space="preserve"> MINIMO 5 MIL IMPRESIONES (FOTOCOPIA) A BLANCO&amp;NEGRO</w:t>
            </w:r>
          </w:p>
          <w:p w14:paraId="20A17463" w14:textId="77777777" w:rsidR="007C62C3" w:rsidRPr="00B84175" w:rsidRDefault="007C62C3" w:rsidP="007C62C3">
            <w:pPr>
              <w:jc w:val="center"/>
              <w:rPr>
                <w:rFonts w:ascii="Arial" w:eastAsia="Times New Roman" w:hAnsi="Arial" w:cs="Arial"/>
                <w:bCs/>
                <w:color w:val="000000"/>
                <w:sz w:val="20"/>
                <w:szCs w:val="20"/>
              </w:rPr>
            </w:pPr>
          </w:p>
        </w:tc>
        <w:tc>
          <w:tcPr>
            <w:tcW w:w="1701" w:type="dxa"/>
            <w:tcBorders>
              <w:top w:val="nil"/>
            </w:tcBorders>
            <w:shd w:val="clear" w:color="auto" w:fill="E2E2E2"/>
          </w:tcPr>
          <w:p w14:paraId="6CFAAD10" w14:textId="442ABEC0" w:rsidR="007C62C3" w:rsidRDefault="007C62C3" w:rsidP="007C62C3">
            <w:pPr>
              <w:pStyle w:val="TableParagraph"/>
              <w:spacing w:before="64"/>
              <w:ind w:left="13"/>
              <w:jc w:val="center"/>
              <w:rPr>
                <w:spacing w:val="-5"/>
                <w:w w:val="105"/>
              </w:rPr>
            </w:pPr>
            <w:r>
              <w:rPr>
                <w:spacing w:val="-5"/>
                <w:w w:val="105"/>
              </w:rPr>
              <w:t>1</w:t>
            </w:r>
          </w:p>
        </w:tc>
        <w:tc>
          <w:tcPr>
            <w:tcW w:w="1762" w:type="dxa"/>
            <w:tcBorders>
              <w:top w:val="nil"/>
            </w:tcBorders>
            <w:shd w:val="clear" w:color="auto" w:fill="E2E2E2"/>
          </w:tcPr>
          <w:p w14:paraId="67CE3A5E" w14:textId="606DDA64" w:rsidR="007C62C3" w:rsidRDefault="007C62C3" w:rsidP="007C62C3">
            <w:pPr>
              <w:pStyle w:val="TableParagraph"/>
              <w:spacing w:before="64"/>
              <w:ind w:left="11"/>
              <w:jc w:val="center"/>
              <w:rPr>
                <w:spacing w:val="-2"/>
              </w:rPr>
            </w:pPr>
            <w:r>
              <w:rPr>
                <w:spacing w:val="-2"/>
              </w:rPr>
              <w:t>Arrendamiento</w:t>
            </w:r>
          </w:p>
        </w:tc>
      </w:tr>
      <w:tr w:rsidR="007C62C3" w14:paraId="4E08EB00" w14:textId="77777777" w:rsidTr="00D60588">
        <w:trPr>
          <w:trHeight w:val="914"/>
        </w:trPr>
        <w:tc>
          <w:tcPr>
            <w:tcW w:w="10993" w:type="dxa"/>
            <w:gridSpan w:val="4"/>
          </w:tcPr>
          <w:p w14:paraId="5121E7C0" w14:textId="77777777" w:rsidR="007C62C3" w:rsidRDefault="007C62C3" w:rsidP="007C62C3">
            <w:pPr>
              <w:pStyle w:val="TableParagraph"/>
              <w:spacing w:before="3"/>
              <w:ind w:left="18" w:right="6"/>
              <w:jc w:val="center"/>
            </w:pPr>
            <w:r>
              <w:t>Descripción</w:t>
            </w:r>
            <w:r>
              <w:rPr>
                <w:spacing w:val="-12"/>
              </w:rPr>
              <w:t xml:space="preserve"> </w:t>
            </w:r>
            <w:r>
              <w:rPr>
                <w:spacing w:val="-2"/>
              </w:rPr>
              <w:t>Detallada:</w:t>
            </w:r>
          </w:p>
          <w:p w14:paraId="3D38FB2E" w14:textId="2D7BEBB2" w:rsidR="007C62C3" w:rsidRDefault="007C62C3" w:rsidP="007C62C3">
            <w:pPr>
              <w:pStyle w:val="TableParagraph"/>
              <w:spacing w:before="0" w:line="266" w:lineRule="exact"/>
              <w:ind w:left="18"/>
              <w:jc w:val="center"/>
            </w:pPr>
            <w:r>
              <w:t>PARTIDA 1.- renta de 2 equipo</w:t>
            </w:r>
            <w:r w:rsidR="006B2403">
              <w:t>s</w:t>
            </w:r>
            <w:r>
              <w:t xml:space="preserve"> de impresión, escaneo y cop</w:t>
            </w:r>
            <w:r w:rsidR="006B2403">
              <w:t>i</w:t>
            </w:r>
            <w:r>
              <w:t>ado en blanco y negro y color</w:t>
            </w:r>
            <w:r w:rsidR="006B2403">
              <w:t xml:space="preserve">,  hasta </w:t>
            </w:r>
            <w:r w:rsidR="007161CD">
              <w:t xml:space="preserve">por </w:t>
            </w:r>
            <w:r w:rsidR="006B2403">
              <w:t>un año</w:t>
            </w:r>
            <w:r>
              <w:t>.</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a su nombre con una vigencia de emisión no mayor a 90 días naturales contados a partir de la entrega 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 xml:space="preserve">El importe de la garantía será del 10% (diez por ciento) por cumplimiento del importe total de lo </w:t>
      </w:r>
      <w:r>
        <w:lastRenderedPageBreak/>
        <w:t>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0F4B0716" w14:textId="77777777" w:rsidR="007C62C3" w:rsidRDefault="007C62C3" w:rsidP="00D60588">
      <w:pPr>
        <w:pStyle w:val="Textoindependiente"/>
        <w:spacing w:before="260" w:line="237" w:lineRule="auto"/>
        <w:ind w:right="143"/>
      </w:pPr>
    </w:p>
    <w:p w14:paraId="6E5D74F4" w14:textId="1BECCEE7" w:rsidR="007C62C3" w:rsidRDefault="007C62C3" w:rsidP="007C62C3">
      <w:pPr>
        <w:pStyle w:val="Sinespaciado"/>
        <w:jc w:val="center"/>
      </w:pPr>
      <w:r>
        <w:t>------------------------------------</w:t>
      </w:r>
    </w:p>
    <w:p w14:paraId="75B1EFB6" w14:textId="3D0F2AAC" w:rsidR="007C62C3" w:rsidRDefault="007C62C3" w:rsidP="007C62C3">
      <w:pPr>
        <w:pStyle w:val="Sinespaciado"/>
        <w:jc w:val="center"/>
      </w:pPr>
      <w:r>
        <w:t>Lic. Gabriela Marisol Loera González</w:t>
      </w:r>
    </w:p>
    <w:p w14:paraId="1527F8CF" w14:textId="713E540D" w:rsidR="007C62C3" w:rsidRDefault="007C62C3" w:rsidP="007C62C3">
      <w:pPr>
        <w:pStyle w:val="Sinespaciado"/>
        <w:jc w:val="center"/>
      </w:pPr>
      <w:r>
        <w:t>Directora Administrativa</w:t>
      </w:r>
    </w:p>
    <w:sectPr w:rsidR="007C62C3">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42EFE" w14:textId="77777777" w:rsidR="002F14A5" w:rsidRDefault="002F14A5">
      <w:r>
        <w:separator/>
      </w:r>
    </w:p>
  </w:endnote>
  <w:endnote w:type="continuationSeparator" w:id="0">
    <w:p w14:paraId="771CA972" w14:textId="77777777" w:rsidR="002F14A5" w:rsidRDefault="002F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4B2C9475" w:rsidR="009B1D8E" w:rsidRDefault="009B1D8E">
                          <w:pPr>
                            <w:spacing w:before="13"/>
                            <w:ind w:left="20"/>
                            <w:rPr>
                              <w:sz w:val="15"/>
                            </w:rPr>
                          </w:pP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4B2C9475" w:rsidR="009B1D8E" w:rsidRDefault="009B1D8E">
                    <w:pPr>
                      <w:spacing w:before="13"/>
                      <w:ind w:left="20"/>
                      <w:rPr>
                        <w:sz w:val="15"/>
                      </w:rPr>
                    </w:pP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8B126" w14:textId="77777777" w:rsidR="002F14A5" w:rsidRDefault="002F14A5">
      <w:r>
        <w:separator/>
      </w:r>
    </w:p>
  </w:footnote>
  <w:footnote w:type="continuationSeparator" w:id="0">
    <w:p w14:paraId="0A30B7EC" w14:textId="77777777" w:rsidR="002F14A5" w:rsidRDefault="002F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182291838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9494600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088308157"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35F4C"/>
    <w:rsid w:val="000631B3"/>
    <w:rsid w:val="000C4874"/>
    <w:rsid w:val="000C5D7B"/>
    <w:rsid w:val="000C75E0"/>
    <w:rsid w:val="00177AD0"/>
    <w:rsid w:val="00187211"/>
    <w:rsid w:val="001A0832"/>
    <w:rsid w:val="001F36D7"/>
    <w:rsid w:val="0021031A"/>
    <w:rsid w:val="00242361"/>
    <w:rsid w:val="00274C0A"/>
    <w:rsid w:val="002941E9"/>
    <w:rsid w:val="002D310B"/>
    <w:rsid w:val="002F14A5"/>
    <w:rsid w:val="003407D8"/>
    <w:rsid w:val="003848A4"/>
    <w:rsid w:val="003910FD"/>
    <w:rsid w:val="003B099C"/>
    <w:rsid w:val="003B1C52"/>
    <w:rsid w:val="003C529F"/>
    <w:rsid w:val="00423AC3"/>
    <w:rsid w:val="004960E5"/>
    <w:rsid w:val="00522AC3"/>
    <w:rsid w:val="005D0FCE"/>
    <w:rsid w:val="00657724"/>
    <w:rsid w:val="006B2403"/>
    <w:rsid w:val="006D4FA7"/>
    <w:rsid w:val="006F2DFB"/>
    <w:rsid w:val="00713637"/>
    <w:rsid w:val="007161CD"/>
    <w:rsid w:val="007C62C3"/>
    <w:rsid w:val="0086684E"/>
    <w:rsid w:val="008D5E82"/>
    <w:rsid w:val="00964498"/>
    <w:rsid w:val="009B1D8E"/>
    <w:rsid w:val="00A264F8"/>
    <w:rsid w:val="00A278CF"/>
    <w:rsid w:val="00AA0EA6"/>
    <w:rsid w:val="00AB60C4"/>
    <w:rsid w:val="00AF51D1"/>
    <w:rsid w:val="00B10A0F"/>
    <w:rsid w:val="00B2660C"/>
    <w:rsid w:val="00CB1263"/>
    <w:rsid w:val="00D2449B"/>
    <w:rsid w:val="00D60588"/>
    <w:rsid w:val="00DA4E5B"/>
    <w:rsid w:val="00E02E20"/>
    <w:rsid w:val="00E26FFD"/>
    <w:rsid w:val="00E821C4"/>
    <w:rsid w:val="00E872AA"/>
    <w:rsid w:val="00EC782E"/>
    <w:rsid w:val="00ED34DF"/>
    <w:rsid w:val="00F501C5"/>
    <w:rsid w:val="00F63077"/>
    <w:rsid w:val="00F768E4"/>
    <w:rsid w:val="00F94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7C62C3"/>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0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1442</Words>
  <Characters>7935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Cendi Tlajomulco</dc:creator>
  <cp:lastModifiedBy>CENDI Tlajomulco</cp:lastModifiedBy>
  <cp:revision>3</cp:revision>
  <dcterms:created xsi:type="dcterms:W3CDTF">2024-12-10T20:28:00Z</dcterms:created>
  <dcterms:modified xsi:type="dcterms:W3CDTF">2024-12-10T20:29:00Z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